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ind w:left="13" w:firstLine="707"/>
        <w:jc w:val="center"/>
        <w:rPr>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2461750</wp:posOffset>
            </wp:positionH>
            <wp:positionV relativeFrom="paragraph">
              <wp:posOffset>-88571</wp:posOffset>
            </wp:positionV>
            <wp:extent cx="1674891" cy="931469"/>
            <wp:effectExtent b="0" l="0" r="0" t="0"/>
            <wp:wrapNone/>
            <wp:docPr descr="A logo with a scale and text&#10;&#10;Description automatically generated" id="1471560213" name="image1.jpg"/>
            <a:graphic>
              <a:graphicData uri="http://schemas.openxmlformats.org/drawingml/2006/picture">
                <pic:pic>
                  <pic:nvPicPr>
                    <pic:cNvPr descr="A logo with a scale and text&#10;&#10;Description automatically generated" id="0" name="image1.jpg"/>
                    <pic:cNvPicPr preferRelativeResize="0"/>
                  </pic:nvPicPr>
                  <pic:blipFill>
                    <a:blip r:embed="rId8"/>
                    <a:srcRect b="0" l="0" r="0" t="0"/>
                    <a:stretch>
                      <a:fillRect/>
                    </a:stretch>
                  </pic:blipFill>
                  <pic:spPr>
                    <a:xfrm>
                      <a:off x="0" y="0"/>
                      <a:ext cx="1674891" cy="931469"/>
                    </a:xfrm>
                    <a:prstGeom prst="rect"/>
                    <a:ln/>
                  </pic:spPr>
                </pic:pic>
              </a:graphicData>
            </a:graphic>
          </wp:anchor>
        </w:drawing>
      </w:r>
    </w:p>
    <w:p w:rsidR="00000000" w:rsidDel="00000000" w:rsidP="00000000" w:rsidRDefault="00000000" w:rsidRPr="00000000" w14:paraId="00000002">
      <w:pPr>
        <w:spacing w:after="240" w:lineRule="auto"/>
        <w:ind w:left="13" w:firstLine="707"/>
        <w:jc w:val="center"/>
        <w:rPr>
          <w:sz w:val="36"/>
          <w:szCs w:val="36"/>
        </w:rPr>
      </w:pPr>
      <w:r w:rsidDel="00000000" w:rsidR="00000000" w:rsidRPr="00000000">
        <w:rPr>
          <w:rtl w:val="0"/>
        </w:rPr>
      </w:r>
    </w:p>
    <w:p w:rsidR="00000000" w:rsidDel="00000000" w:rsidP="00000000" w:rsidRDefault="00000000" w:rsidRPr="00000000" w14:paraId="00000003">
      <w:pPr>
        <w:spacing w:after="200" w:lineRule="auto"/>
        <w:ind w:left="13" w:firstLine="707"/>
        <w:jc w:val="center"/>
        <w:rPr>
          <w:sz w:val="36"/>
          <w:szCs w:val="36"/>
        </w:rPr>
      </w:pPr>
      <w:r w:rsidDel="00000000" w:rsidR="00000000" w:rsidRPr="00000000">
        <w:rPr>
          <w:rtl w:val="0"/>
        </w:rPr>
      </w:r>
    </w:p>
    <w:p w:rsidR="00000000" w:rsidDel="00000000" w:rsidP="00000000" w:rsidRDefault="00000000" w:rsidRPr="00000000" w14:paraId="00000004">
      <w:pPr>
        <w:spacing w:after="200" w:lineRule="auto"/>
        <w:ind w:left="13" w:firstLine="707"/>
        <w:jc w:val="center"/>
        <w:rPr>
          <w:sz w:val="36"/>
          <w:szCs w:val="36"/>
        </w:rPr>
      </w:pPr>
      <w:r w:rsidDel="00000000" w:rsidR="00000000" w:rsidRPr="00000000">
        <w:rPr>
          <w:sz w:val="36"/>
          <w:szCs w:val="36"/>
          <w:rtl w:val="0"/>
        </w:rPr>
        <w:t xml:space="preserve">HALACHIC (JEWISH LAW) WILL</w:t>
      </w:r>
    </w:p>
    <w:p w:rsidR="00000000" w:rsidDel="00000000" w:rsidP="00000000" w:rsidRDefault="00000000" w:rsidRPr="00000000" w14:paraId="00000005">
      <w:pPr>
        <w:spacing w:after="200" w:lineRule="auto"/>
        <w:ind w:left="13" w:firstLine="707"/>
        <w:jc w:val="center"/>
        <w:rPr>
          <w:sz w:val="26"/>
          <w:szCs w:val="26"/>
        </w:rPr>
      </w:pPr>
      <w:r w:rsidDel="00000000" w:rsidR="00000000" w:rsidRPr="00000000">
        <w:rPr>
          <w:rtl w:val="0"/>
        </w:rPr>
      </w:r>
    </w:p>
    <w:p w:rsidR="00000000" w:rsidDel="00000000" w:rsidP="00000000" w:rsidRDefault="00000000" w:rsidRPr="00000000" w14:paraId="00000006">
      <w:pPr>
        <w:spacing w:after="200" w:lineRule="auto"/>
        <w:ind w:left="13" w:hanging="13"/>
        <w:jc w:val="center"/>
        <w:rPr>
          <w:b w:val="1"/>
          <w:sz w:val="26"/>
          <w:szCs w:val="26"/>
        </w:rPr>
      </w:pPr>
      <w:r w:rsidDel="00000000" w:rsidR="00000000" w:rsidRPr="00000000">
        <w:rPr>
          <w:sz w:val="26"/>
          <w:szCs w:val="26"/>
          <w:rtl w:val="0"/>
        </w:rPr>
        <w:t xml:space="preserve">Introduction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73" w:before="0" w:line="248.00000000000006" w:lineRule="auto"/>
        <w:ind w:left="28" w:right="0" w:firstLine="0"/>
        <w:jc w:val="left"/>
        <w:rPr>
          <w:sz w:val="26"/>
          <w:szCs w:val="26"/>
        </w:rPr>
      </w:pPr>
      <w:bookmarkStart w:colFirst="0" w:colLast="0" w:name="_heading=h.3oq00wwfvfey" w:id="0"/>
      <w:bookmarkEnd w:id="0"/>
      <w:r w:rsidDel="00000000" w:rsidR="00000000" w:rsidRPr="00000000">
        <w:rPr>
          <w:sz w:val="26"/>
          <w:szCs w:val="26"/>
          <w:rtl w:val="0"/>
        </w:rPr>
        <w:t xml:space="preserve">According to the Torah’s laws of inheritance, a husband generally inherits his wife’s property, and a person’s sons – if he has any – are his sole heirs, each getting an equal share, except for the </w:t>
      </w:r>
      <w:r w:rsidDel="00000000" w:rsidR="00000000" w:rsidRPr="00000000">
        <w:rPr>
          <w:i w:val="1"/>
          <w:sz w:val="26"/>
          <w:szCs w:val="26"/>
          <w:rtl w:val="0"/>
        </w:rPr>
        <w:t xml:space="preserve">b’chor</w:t>
      </w:r>
      <w:r w:rsidDel="00000000" w:rsidR="00000000" w:rsidRPr="00000000">
        <w:rPr>
          <w:sz w:val="26"/>
          <w:szCs w:val="26"/>
          <w:rtl w:val="0"/>
        </w:rPr>
        <w:t xml:space="preserve"> (male firstborn) who gets a double share.  It is a common practice to leave a will by which a person’s estate is divided according to his or her own wishes, and not in accordance with the halacha. However, a secular will has no halachic validity since it takes effect after death, at which time a person has no halachic power to transfer his or her possessions.</w:t>
      </w:r>
    </w:p>
    <w:p w:rsidR="00000000" w:rsidDel="00000000" w:rsidP="00000000" w:rsidRDefault="00000000" w:rsidRPr="00000000" w14:paraId="00000008">
      <w:pPr>
        <w:ind w:left="28" w:firstLine="0"/>
        <w:rPr>
          <w:sz w:val="26"/>
          <w:szCs w:val="26"/>
        </w:rPr>
      </w:pPr>
      <w:r w:rsidDel="00000000" w:rsidR="00000000" w:rsidRPr="00000000">
        <w:rPr>
          <w:sz w:val="26"/>
          <w:szCs w:val="26"/>
          <w:rtl w:val="0"/>
        </w:rPr>
        <w:t xml:space="preserve">Our rabbis, therefore, devised a method to enable one to arrange that a person who is not a halachic heir will receive a part of their estate. The procedure is as follows: the person writes a note of obligation in the amount of an enormous sum of money, payable to certain non-halachic beneficiaries.  Upon the death of the person who signed the note, the halachic heirs will perforce give the entire estate to the non-halachic beneficiaries.  It is stipulated, however, that if the halachic heirs will distribute the estate in accordance with the wishes of the deceased, typically as expressed in a separate last will and testament, then the obligation is null and void.</w:t>
      </w:r>
    </w:p>
    <w:p w:rsidR="00000000" w:rsidDel="00000000" w:rsidP="00000000" w:rsidRDefault="00000000" w:rsidRPr="00000000" w14:paraId="00000009">
      <w:pPr>
        <w:ind w:left="28" w:firstLine="0"/>
        <w:rPr>
          <w:sz w:val="26"/>
          <w:szCs w:val="26"/>
        </w:rPr>
      </w:pPr>
      <w:r w:rsidDel="00000000" w:rsidR="00000000" w:rsidRPr="00000000">
        <w:rPr>
          <w:sz w:val="26"/>
          <w:szCs w:val="26"/>
          <w:rtl w:val="0"/>
        </w:rPr>
        <w:t xml:space="preserve">The obligation becomes effective when the form below is executed and delivered to a beneficiary or any other party (e.g. a rabbi or a Jewish attorney) who receives it on behalf of the named beneficiaries, even without their knowledge.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br w:type="page"/>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Halachic Will Addendum</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superscript"/>
        </w:rPr>
      </w:pP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By way of this Halachic Will Addendum (“Addendum”), </w:t>
      </w: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I, the undersigned, hereby obligate myself,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effective immediately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me</w:t>
      </w:r>
      <w:r w:rsidDel="00000000" w:rsidR="00000000" w:rsidRPr="00000000">
        <w:rPr>
          <w:i w:val="1"/>
          <w:rtl w:val="0"/>
        </w:rPr>
        <w:t xml:space="preserve">’</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achshav</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 my wife/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husband</w:t>
      </w:r>
      <w:r w:rsidDel="00000000" w:rsidR="00000000" w:rsidRPr="00000000">
        <w:rPr>
          <w:rFonts w:ascii="Cambria" w:cs="Cambria" w:eastAsia="Cambria" w:hAnsi="Cambria"/>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__________________________________________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if she/he survives me, or if not, to ___________________________________________________________</w:t>
      </w:r>
      <w:r w:rsidDel="00000000" w:rsidR="00000000" w:rsidRPr="00000000">
        <w:rPr>
          <w:vertAlign w:val="superscript"/>
        </w:rPr>
        <w:footnoteReference w:customMarkFollows="0" w:id="1"/>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(as the case may be, “Obligee”), in equal shares, in the sum of $________________________________, but not payable until one minute before my death, on the condition that I do not retract this obligation at any time prior to my death (the “Obligation”).  All the property which is mine at that time</w:t>
      </w:r>
      <w:r w:rsidDel="00000000" w:rsidR="00000000" w:rsidRPr="00000000">
        <w:rPr>
          <w:rFonts w:ascii="Cambria" w:cs="Cambria" w:eastAsia="Cambria" w:hAnsi="Cambria"/>
          <w:b w:val="0"/>
          <w:i w:val="0"/>
          <w:smallCaps w:val="0"/>
          <w:strike w:val="0"/>
          <w:color w:val="000000"/>
          <w:sz w:val="22"/>
          <w:szCs w:val="22"/>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including property that I may acquire, both real and personal, shall serve as security for payment of the Obligation.</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mbria" w:cs="Cambria" w:eastAsia="Cambria" w:hAnsi="Cambria"/>
          <w:b w:val="0"/>
          <w:i w:val="0"/>
          <w:smallCaps w:val="0"/>
          <w:strike w:val="0"/>
          <w:color w:val="f12922"/>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hereby stipulate that my heirs as defined by the Torah (my “Torah heirs”) shall be given the option of paying the Obligation, or, in lieu thereof, carrying out the terms of (i) my Last Will and Testament (including all codicils and/or amendments), (ii) any and all Trusts (including all amendments and restatements) whose assets are considered part of my estate and (iii) all transfers of property upon my death which are considered “non-testamentary transfers” in accordance with the laws of the State in which my estate is being administered (collectively, my “Directives”).  If my Torah heirs abide by the terms of my Directives then the Obligation is null and void. If my Torah heirs contest or object to the disposition of my property made in my Directives, whether before a civil court or before a Jewish Court, then the Obligation shall be deemed to vest absolutely.</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event that there are outstanding debts that are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halachically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payable from my estate, Obligee shall pay such debts in the amount necessary to ensure that no creditor will suffer any loss on account of this Addendum.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Notwithstanding anything to the contrary contained herein, I hereby bequeath all Jewish books and the sum of </w:t>
      </w:r>
      <w:r w:rsidDel="00000000" w:rsidR="00000000" w:rsidRPr="00000000">
        <w:rPr>
          <w:rtl w:val="0"/>
        </w:rPr>
        <w:t xml:space="preserve">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 </w:t>
      </w:r>
      <w:r w:rsidDel="00000000" w:rsidR="00000000" w:rsidRPr="00000000">
        <w:rPr>
          <w:rtl w:val="0"/>
        </w:rPr>
        <w:t xml:space="preserve">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housand dollars exclusively to my Torah heirs according to the formula for inheritance prescribed in the Code of Jewish Law.</w:t>
      </w:r>
    </w:p>
    <w:p w:rsidR="00000000" w:rsidDel="00000000" w:rsidP="00000000" w:rsidRDefault="00000000" w:rsidRPr="00000000" w14:paraId="00000011">
      <w:pPr>
        <w:spacing w:after="120" w:line="276" w:lineRule="auto"/>
        <w:ind w:left="0" w:firstLine="0"/>
        <w:jc w:val="both"/>
        <w:rPr/>
      </w:pPr>
      <w:r w:rsidDel="00000000" w:rsidR="00000000" w:rsidRPr="00000000">
        <w:rPr>
          <w:rtl w:val="0"/>
        </w:rPr>
        <w:t xml:space="preserve">This Addendum shall remain in full force and survive all future testamentary documents, unless such documents contain a superseding clause that specifically references this Addendum.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above Obligation is undertaken by a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kinyan sudar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 a </w:t>
      </w:r>
      <w:r w:rsidDel="00000000" w:rsidR="00000000" w:rsidRPr="00000000">
        <w:rPr>
          <w:i w:val="1"/>
          <w:rtl w:val="0"/>
        </w:rPr>
        <w:t xml:space="preserve">b</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eis </w:t>
      </w:r>
      <w:r w:rsidDel="00000000" w:rsidR="00000000" w:rsidRPr="00000000">
        <w:rPr>
          <w:i w:val="1"/>
          <w:rtl w:val="0"/>
        </w:rPr>
        <w:t xml:space="preserve">d</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in chashuv</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proper means of transaction in an important Jewish </w:t>
      </w:r>
      <w:r w:rsidDel="00000000" w:rsidR="00000000" w:rsidRPr="00000000">
        <w:rPr>
          <w:rtl w:val="0"/>
        </w:rPr>
        <w:t xml:space="preserve">c</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ourt). No consideration was received by the Obligor in exchange for the Obligation. The above conditions are made in accordance with the laws of the Torah and Talmudic jurisprudence, in the manner of the conditions which were imposed on the Tribes of Gad and Reuven, as derived from Numbers Chapter 32.  This document is intended to be, and is, binding, consistent with the binding nature of all agreements, documents, obligations and acquisitions that are properly effectuated in a Jewish </w:t>
      </w:r>
      <w:r w:rsidDel="00000000" w:rsidR="00000000" w:rsidRPr="00000000">
        <w:rPr>
          <w:rtl w:val="0"/>
        </w:rPr>
        <w:t xml:space="preserve">c</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ourt of </w:t>
      </w:r>
      <w:r w:rsidDel="00000000" w:rsidR="00000000" w:rsidRPr="00000000">
        <w:rPr>
          <w:rtl w:val="0"/>
        </w:rPr>
        <w:t xml:space="preserve">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aw in accordance with the laws and rules established by </w:t>
      </w:r>
      <w:r w:rsidDel="00000000" w:rsidR="00000000" w:rsidRPr="00000000">
        <w:rPr>
          <w:rtl w:val="0"/>
        </w:rPr>
        <w:t xml:space="preserv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abbinical authorities.          THIS IS ALL VALID AND IN GOOD STANDING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hereby affix my signature on this _______________ day of _____________________, 20______.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Obligor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Name: _______________________________________________________</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pPr>
      <w:r w:rsidDel="00000000" w:rsidR="00000000" w:rsidRPr="00000000">
        <w:rPr>
          <w:rtl w:val="0"/>
        </w:rPr>
        <w:t xml:space="preserve">Obligor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Signature:  __________________________________________________</w:t>
      </w:r>
      <w:r w:rsidDel="00000000" w:rsidR="00000000" w:rsidRPr="00000000">
        <w:rPr>
          <w:rtl w:val="0"/>
        </w:rPr>
      </w:r>
    </w:p>
    <w:sectPr>
      <w:footerReference r:id="rId9" w:type="default"/>
      <w:pgSz w:h="15840" w:w="12240" w:orient="portrait"/>
      <w:pgMar w:bottom="1296" w:top="1296" w:left="1296" w:right="1296" w:header="720" w:footer="5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David"/>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1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Insert names of daughter(s) or, if none, other non-halachic heir(s).</w:t>
      </w:r>
    </w:p>
  </w:footnote>
  <w:footnote w:id="0">
    <w:p w:rsidR="00000000" w:rsidDel="00000000" w:rsidP="00000000" w:rsidRDefault="00000000" w:rsidRPr="00000000" w14:paraId="0000001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cases where the person’s spouse is not the primary inheritor, the clause, “to my wife/husband ___, if she/he survives me, or if not,” should be stricken.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73" w:line="248.00000000000006" w:lineRule="auto"/>
        <w:ind w:left="28"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c55911" w:space="1" w:sz="12" w:val="single"/>
      </w:pBdr>
      <w:spacing w:after="200" w:before="400" w:line="252.00000000000003" w:lineRule="auto"/>
      <w:jc w:val="center"/>
    </w:pPr>
    <w:rPr>
      <w:smallCaps w:val="1"/>
      <w:color w:val="843c0b"/>
      <w:sz w:val="28"/>
      <w:szCs w:val="28"/>
    </w:rPr>
  </w:style>
  <w:style w:type="paragraph" w:styleId="Heading2">
    <w:name w:val="heading 2"/>
    <w:basedOn w:val="Normal"/>
    <w:next w:val="Normal"/>
    <w:pPr>
      <w:pBdr>
        <w:bottom w:color="823b0b" w:space="1" w:sz="4" w:val="single"/>
      </w:pBdr>
      <w:spacing w:after="200" w:before="400" w:line="252.00000000000003" w:lineRule="auto"/>
      <w:jc w:val="center"/>
    </w:pPr>
    <w:rPr>
      <w:rFonts w:ascii="David" w:cs="David" w:eastAsia="David" w:hAnsi="David"/>
      <w:smallCaps w:val="1"/>
      <w:color w:val="4472c4"/>
      <w:sz w:val="26"/>
      <w:szCs w:val="26"/>
    </w:rPr>
  </w:style>
  <w:style w:type="paragraph" w:styleId="Heading3">
    <w:name w:val="heading 3"/>
    <w:basedOn w:val="Normal"/>
    <w:next w:val="Normal"/>
    <w:pPr>
      <w:pBdr>
        <w:top w:color="823b0b" w:space="1" w:sz="4" w:val="dotted"/>
        <w:bottom w:color="823b0b" w:space="1" w:sz="4" w:val="dotted"/>
      </w:pBdr>
      <w:spacing w:after="200" w:before="300" w:line="252.00000000000003" w:lineRule="auto"/>
      <w:jc w:val="center"/>
    </w:pPr>
    <w:rPr>
      <w:smallCaps w:val="1"/>
      <w:color w:val="823b0b"/>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c55911" w:space="1" w:sz="12" w:val="single"/>
      </w:pBdr>
      <w:spacing w:after="200" w:before="400" w:line="252.00000000000003" w:lineRule="auto"/>
      <w:jc w:val="center"/>
    </w:pPr>
    <w:rPr>
      <w:smallCaps w:val="1"/>
      <w:color w:val="843c0b"/>
      <w:sz w:val="28"/>
      <w:szCs w:val="28"/>
    </w:rPr>
  </w:style>
  <w:style w:type="paragraph" w:styleId="Heading2">
    <w:name w:val="heading 2"/>
    <w:basedOn w:val="Normal"/>
    <w:next w:val="Normal"/>
    <w:pPr>
      <w:pBdr>
        <w:bottom w:color="823b0b" w:space="1" w:sz="4" w:val="single"/>
      </w:pBdr>
      <w:spacing w:after="200" w:before="400" w:line="252.00000000000003" w:lineRule="auto"/>
      <w:jc w:val="center"/>
    </w:pPr>
    <w:rPr>
      <w:rFonts w:ascii="David" w:cs="David" w:eastAsia="David" w:hAnsi="David"/>
      <w:smallCaps w:val="1"/>
      <w:color w:val="4472c4"/>
      <w:sz w:val="26"/>
      <w:szCs w:val="26"/>
    </w:rPr>
  </w:style>
  <w:style w:type="paragraph" w:styleId="Heading3">
    <w:name w:val="heading 3"/>
    <w:basedOn w:val="Normal"/>
    <w:next w:val="Normal"/>
    <w:pPr>
      <w:pBdr>
        <w:top w:color="823b0b" w:space="1" w:sz="4" w:val="dotted"/>
        <w:bottom w:color="823b0b" w:space="1" w:sz="4" w:val="dotted"/>
      </w:pBdr>
      <w:spacing w:after="200" w:before="300" w:line="252.00000000000003" w:lineRule="auto"/>
      <w:jc w:val="center"/>
    </w:pPr>
    <w:rPr>
      <w:smallCaps w:val="1"/>
      <w:color w:val="823b0b"/>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770F0"/>
    <w:pPr>
      <w:spacing w:after="273" w:line="248" w:lineRule="auto"/>
      <w:ind w:left="28" w:hanging="10"/>
    </w:pPr>
    <w:rPr>
      <w:rFonts w:ascii="Cambria" w:cs="Cambria" w:eastAsia="Cambria" w:hAnsi="Cambria"/>
      <w:color w:val="000000"/>
    </w:rPr>
  </w:style>
  <w:style w:type="paragraph" w:styleId="Heading1">
    <w:name w:val="heading 1"/>
    <w:aliases w:val="Category"/>
    <w:basedOn w:val="Normal"/>
    <w:next w:val="Normal"/>
    <w:link w:val="Heading1Char"/>
    <w:uiPriority w:val="9"/>
    <w:qFormat w:val="1"/>
    <w:rsid w:val="001A7547"/>
    <w:pPr>
      <w:pBdr>
        <w:bottom w:color="c45911" w:space="1" w:sz="12" w:themeColor="accent2" w:themeShade="0000BF" w:val="thinThickSmallGap"/>
      </w:pBdr>
      <w:spacing w:after="200" w:before="400" w:line="252" w:lineRule="auto"/>
      <w:jc w:val="center"/>
      <w:outlineLvl w:val="0"/>
    </w:pPr>
    <w:rPr>
      <w:rFonts w:cstheme="majorBidi" w:eastAsiaTheme="majorEastAsia"/>
      <w:caps w:val="1"/>
      <w:color w:val="833c0b" w:themeColor="accent2" w:themeShade="000080"/>
      <w:spacing w:val="20"/>
      <w:sz w:val="28"/>
      <w:szCs w:val="28"/>
    </w:rPr>
  </w:style>
  <w:style w:type="paragraph" w:styleId="Heading2">
    <w:name w:val="heading 2"/>
    <w:aliases w:val="Source"/>
    <w:basedOn w:val="Normal"/>
    <w:next w:val="Normal"/>
    <w:link w:val="Heading2Char"/>
    <w:uiPriority w:val="9"/>
    <w:unhideWhenUsed w:val="1"/>
    <w:qFormat w:val="1"/>
    <w:rsid w:val="00C34A47"/>
    <w:pPr>
      <w:framePr w:lines="0" w:wrap="around" w:hAnchor="text" w:vAnchor="text" w:y="1"/>
      <w:pBdr>
        <w:bottom w:color="823b0b" w:space="1" w:sz="4" w:themeColor="accent2" w:themeShade="00007F" w:val="single"/>
      </w:pBdr>
      <w:spacing w:after="200" w:before="400" w:line="252" w:lineRule="auto"/>
      <w:jc w:val="center"/>
      <w:outlineLvl w:val="1"/>
    </w:pPr>
    <w:rPr>
      <w:rFonts w:ascii="David" w:cs="David" w:hAnsi="David"/>
      <w:caps w:val="1"/>
      <w:color w:val="4472c4" w:themeColor="accent1"/>
      <w:spacing w:val="15"/>
      <w:sz w:val="26"/>
      <w:szCs w:val="26"/>
    </w:rPr>
  </w:style>
  <w:style w:type="paragraph" w:styleId="Heading3">
    <w:name w:val="heading 3"/>
    <w:aliases w:val="Subsection"/>
    <w:basedOn w:val="Normal"/>
    <w:next w:val="Normal"/>
    <w:link w:val="Heading3Char"/>
    <w:uiPriority w:val="9"/>
    <w:unhideWhenUsed w:val="1"/>
    <w:qFormat w:val="1"/>
    <w:rsid w:val="001A7547"/>
    <w:pPr>
      <w:pBdr>
        <w:top w:color="823b0b" w:space="1" w:sz="4" w:themeColor="accent2" w:themeShade="00007F" w:val="dotted"/>
        <w:bottom w:color="823b0b" w:space="1" w:sz="4" w:themeColor="accent2" w:themeShade="00007F" w:val="dotted"/>
      </w:pBdr>
      <w:spacing w:after="200" w:before="300" w:line="252" w:lineRule="auto"/>
      <w:jc w:val="center"/>
      <w:outlineLvl w:val="2"/>
    </w:pPr>
    <w:rPr>
      <w:rFonts w:cstheme="majorBidi" w:eastAsiaTheme="majorEastAsia"/>
      <w:caps w:val="1"/>
      <w:color w:val="823b0b" w:themeColor="accent2"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GishaFont" w:customStyle="1">
    <w:name w:val="C Gisha Font"/>
    <w:basedOn w:val="Normal"/>
    <w:link w:val="CGishaFontChar"/>
    <w:qFormat w:val="1"/>
    <w:rsid w:val="00393244"/>
    <w:pPr>
      <w:bidi w:val="1"/>
      <w:spacing w:after="0"/>
      <w:jc w:val="both"/>
    </w:pPr>
    <w:rPr>
      <w:rFonts w:ascii="Gisha" w:cs="Gisha" w:hAnsi="Gisha"/>
      <w:color w:val="222222"/>
      <w:sz w:val="28"/>
      <w:szCs w:val="28"/>
      <w:shd w:color="auto" w:fill="ffffff" w:val="clear"/>
    </w:rPr>
  </w:style>
  <w:style w:type="character" w:styleId="CGishaFontChar" w:customStyle="1">
    <w:name w:val="C Gisha Font Char"/>
    <w:basedOn w:val="DefaultParagraphFont"/>
    <w:link w:val="CGishaFont"/>
    <w:rsid w:val="00393244"/>
    <w:rPr>
      <w:rFonts w:ascii="Gisha" w:cs="Gisha" w:hAnsi="Gisha"/>
      <w:color w:val="222222"/>
      <w:sz w:val="28"/>
      <w:szCs w:val="28"/>
    </w:rPr>
  </w:style>
  <w:style w:type="paragraph" w:styleId="CCardoFont" w:customStyle="1">
    <w:name w:val="C Cardo Font"/>
    <w:basedOn w:val="Normal"/>
    <w:link w:val="CCardoFontChar"/>
    <w:qFormat w:val="1"/>
    <w:rsid w:val="00393244"/>
    <w:pPr>
      <w:bidi w:val="1"/>
      <w:spacing w:after="0"/>
      <w:jc w:val="both"/>
    </w:pPr>
    <w:rPr>
      <w:rFonts w:ascii="Cardo" w:cs="Cardo" w:hAnsi="Cardo"/>
      <w:color w:val="222222"/>
      <w:sz w:val="28"/>
      <w:szCs w:val="28"/>
      <w:shd w:color="auto" w:fill="ffffff" w:val="clear"/>
    </w:rPr>
  </w:style>
  <w:style w:type="character" w:styleId="CCardoFontChar" w:customStyle="1">
    <w:name w:val="C Cardo Font Char"/>
    <w:basedOn w:val="DefaultParagraphFont"/>
    <w:link w:val="CCardoFont"/>
    <w:rsid w:val="00393244"/>
    <w:rPr>
      <w:rFonts w:ascii="Cardo" w:cs="Cardo" w:hAnsi="Cardo"/>
      <w:color w:val="222222"/>
      <w:sz w:val="28"/>
      <w:szCs w:val="28"/>
    </w:rPr>
  </w:style>
  <w:style w:type="character" w:styleId="Heading2Char" w:customStyle="1">
    <w:name w:val="Heading 2 Char"/>
    <w:aliases w:val="Source Char"/>
    <w:basedOn w:val="DefaultParagraphFont"/>
    <w:link w:val="Heading2"/>
    <w:uiPriority w:val="9"/>
    <w:rsid w:val="00C34A47"/>
    <w:rPr>
      <w:rFonts w:ascii="David" w:cs="David" w:hAnsi="David"/>
      <w:caps w:val="1"/>
      <w:color w:val="4472c4" w:themeColor="accent1"/>
      <w:spacing w:val="15"/>
      <w:sz w:val="26"/>
      <w:szCs w:val="26"/>
    </w:rPr>
  </w:style>
  <w:style w:type="character" w:styleId="Heading1Char" w:customStyle="1">
    <w:name w:val="Heading 1 Char"/>
    <w:aliases w:val="Category Char"/>
    <w:basedOn w:val="DefaultParagraphFont"/>
    <w:link w:val="Heading1"/>
    <w:uiPriority w:val="9"/>
    <w:rsid w:val="001A7547"/>
    <w:rPr>
      <w:rFonts w:cstheme="majorBidi" w:eastAsiaTheme="majorEastAsia"/>
      <w:caps w:val="1"/>
      <w:color w:val="833c0b" w:themeColor="accent2" w:themeShade="000080"/>
      <w:spacing w:val="20"/>
      <w:sz w:val="28"/>
      <w:szCs w:val="28"/>
    </w:rPr>
  </w:style>
  <w:style w:type="character" w:styleId="Heading3Char" w:customStyle="1">
    <w:name w:val="Heading 3 Char"/>
    <w:aliases w:val="Subsection Char"/>
    <w:basedOn w:val="DefaultParagraphFont"/>
    <w:link w:val="Heading3"/>
    <w:uiPriority w:val="9"/>
    <w:rsid w:val="001A7547"/>
    <w:rPr>
      <w:rFonts w:cstheme="majorBidi" w:eastAsiaTheme="majorEastAsia"/>
      <w:caps w:val="1"/>
      <w:color w:val="823b0b" w:themeColor="accent2" w:themeShade="00007F"/>
      <w:sz w:val="24"/>
      <w:szCs w:val="24"/>
    </w:rPr>
  </w:style>
  <w:style w:type="paragraph" w:styleId="a" w:customStyle="1">
    <w:name w:val="ראשונים"/>
    <w:basedOn w:val="Normal"/>
    <w:link w:val="Char"/>
    <w:qFormat w:val="1"/>
    <w:rsid w:val="001A7547"/>
    <w:pPr>
      <w:bidi w:val="1"/>
      <w:spacing w:after="200" w:line="252" w:lineRule="auto"/>
    </w:pPr>
    <w:rPr>
      <w:rFonts w:cs="Ozrad CLM"/>
      <w:sz w:val="20"/>
      <w:szCs w:val="20"/>
    </w:rPr>
  </w:style>
  <w:style w:type="character" w:styleId="Char" w:customStyle="1">
    <w:name w:val="ראשונים Char"/>
    <w:basedOn w:val="DefaultParagraphFont"/>
    <w:link w:val="a"/>
    <w:rsid w:val="001A7547"/>
    <w:rPr>
      <w:rFonts w:cs="Ozrad CLM"/>
      <w:sz w:val="20"/>
      <w:szCs w:val="20"/>
    </w:rPr>
  </w:style>
  <w:style w:type="paragraph" w:styleId="NoSpacing">
    <w:name w:val="No Spacing"/>
    <w:rsid w:val="00A770F0"/>
    <w:pPr>
      <w:pBdr>
        <w:top w:space="0" w:sz="0" w:val="nil"/>
        <w:left w:space="0" w:sz="0" w:val="nil"/>
        <w:bottom w:space="0" w:sz="0" w:val="nil"/>
        <w:right w:space="0" w:sz="0" w:val="nil"/>
        <w:between w:space="0" w:sz="0" w:val="nil"/>
        <w:bar w:space="0" w:sz="0" w:val="nil"/>
      </w:pBdr>
      <w:spacing w:after="0" w:line="240" w:lineRule="auto"/>
    </w:pPr>
    <w:rPr>
      <w:rFonts w:ascii="Calibri" w:cs="Calibri" w:eastAsia="Calibri" w:hAnsi="Calibri"/>
      <w:color w:val="000000"/>
      <w:u w:color="000000"/>
      <w:bdr w:space="0" w:sz="0" w:val="nil"/>
    </w:rPr>
  </w:style>
  <w:style w:type="paragraph" w:styleId="Body" w:customStyle="1">
    <w:name w:val="Body"/>
    <w:rsid w:val="00A770F0"/>
    <w:pPr>
      <w:pBdr>
        <w:top w:space="0" w:sz="0" w:val="nil"/>
        <w:left w:space="0" w:sz="0" w:val="nil"/>
        <w:bottom w:space="0" w:sz="0" w:val="nil"/>
        <w:right w:space="0" w:sz="0" w:val="nil"/>
        <w:between w:space="0" w:sz="0" w:val="nil"/>
        <w:bar w:space="0" w:sz="0" w:val="nil"/>
      </w:pBdr>
      <w:spacing w:after="0" w:line="240" w:lineRule="auto"/>
    </w:pPr>
    <w:rPr>
      <w:rFonts w:ascii="Helvetica" w:cs="Arial Unicode MS" w:eastAsia="Arial Unicode MS" w:hAnsi="Helvetica"/>
      <w:color w:val="000000"/>
      <w:bdr w:space="0" w:sz="0" w:val="nil"/>
    </w:rPr>
  </w:style>
  <w:style w:type="numbering" w:styleId="Numbered" w:customStyle="1">
    <w:name w:val="Numbered"/>
    <w:rsid w:val="00A770F0"/>
    <w:pPr>
      <w:numPr>
        <w:numId w:val="1"/>
      </w:numPr>
    </w:pPr>
  </w:style>
  <w:style w:type="paragraph" w:styleId="Footer">
    <w:name w:val="footer"/>
    <w:basedOn w:val="Normal"/>
    <w:link w:val="FooterChar"/>
    <w:uiPriority w:val="99"/>
    <w:unhideWhenUsed w:val="1"/>
    <w:rsid w:val="00A770F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770F0"/>
    <w:rPr>
      <w:rFonts w:ascii="Cambria" w:cs="Cambria" w:eastAsia="Cambria" w:hAnsi="Cambria"/>
      <w:color w:val="000000"/>
    </w:rPr>
  </w:style>
  <w:style w:type="paragraph" w:styleId="FootnoteText">
    <w:name w:val="footnote text"/>
    <w:basedOn w:val="Normal"/>
    <w:link w:val="FootnoteTextChar"/>
    <w:uiPriority w:val="99"/>
    <w:semiHidden w:val="1"/>
    <w:unhideWhenUsed w:val="1"/>
    <w:rsid w:val="0038456B"/>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38456B"/>
    <w:rPr>
      <w:rFonts w:ascii="Cambria" w:cs="Cambria" w:eastAsia="Cambria" w:hAnsi="Cambria"/>
      <w:color w:val="000000"/>
      <w:sz w:val="20"/>
      <w:szCs w:val="20"/>
    </w:rPr>
  </w:style>
  <w:style w:type="character" w:styleId="FootnoteReference">
    <w:name w:val="footnote reference"/>
    <w:basedOn w:val="DefaultParagraphFont"/>
    <w:uiPriority w:val="99"/>
    <w:semiHidden w:val="1"/>
    <w:unhideWhenUsed w:val="1"/>
    <w:rsid w:val="0038456B"/>
    <w:rPr>
      <w:vertAlign w:val="superscript"/>
    </w:rPr>
  </w:style>
  <w:style w:type="paragraph" w:styleId="Revision">
    <w:name w:val="Revision"/>
    <w:hidden w:val="1"/>
    <w:uiPriority w:val="99"/>
    <w:semiHidden w:val="1"/>
    <w:rsid w:val="00801A61"/>
    <w:pPr>
      <w:spacing w:after="0" w:line="240" w:lineRule="auto"/>
    </w:pPr>
    <w:rPr>
      <w:rFonts w:ascii="Cambria" w:cs="Cambria" w:eastAsia="Cambria" w:hAnsi="Cambria"/>
      <w:color w:val="000000"/>
    </w:rPr>
  </w:style>
  <w:style w:type="paragraph" w:styleId="footnotedescription" w:customStyle="1">
    <w:name w:val="footnote description"/>
    <w:next w:val="Normal"/>
    <w:link w:val="footnotedescriptionChar"/>
    <w:hidden w:val="1"/>
    <w:rsid w:val="00FE7CCB"/>
    <w:pPr>
      <w:spacing w:after="0" w:line="216" w:lineRule="auto"/>
      <w:ind w:left="5489" w:right="18" w:firstLine="763"/>
    </w:pPr>
    <w:rPr>
      <w:rFonts w:ascii="Arial" w:cs="Arial" w:eastAsia="Arial" w:hAnsi="Arial"/>
      <w:color w:val="000000"/>
      <w:sz w:val="20"/>
    </w:rPr>
  </w:style>
  <w:style w:type="character" w:styleId="footnotedescriptionChar" w:customStyle="1">
    <w:name w:val="footnote description Char"/>
    <w:link w:val="footnotedescription"/>
    <w:rsid w:val="00FE7CCB"/>
    <w:rPr>
      <w:rFonts w:ascii="Arial" w:cs="Arial" w:eastAsia="Arial" w:hAnsi="Arial"/>
      <w:color w:val="000000"/>
      <w:sz w:val="20"/>
    </w:rPr>
  </w:style>
  <w:style w:type="character" w:styleId="footnotemark" w:customStyle="1">
    <w:name w:val="footnote mark"/>
    <w:hidden w:val="1"/>
    <w:rsid w:val="00FE7CCB"/>
    <w:rPr>
      <w:rFonts w:ascii="Calibri" w:cs="Calibri" w:eastAsia="Calibri" w:hAnsi="Calibri"/>
      <w:color w:val="000000"/>
      <w:sz w:val="20"/>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ZCtKITFeyrgVsHoNF3sxq0UQQ==">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2023-08-17T14:34:00Z</dcterms:created>
  <dc:creator>Aaron Kraft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0x01010099F759CB243554459119F75C7FA2D62A</vt:lpwstr>
  </property>
</Properties>
</file>